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авила-содержания-и-выгула-собак"/>
    <w:p>
      <w:pPr>
        <w:pStyle w:val="Heading3"/>
      </w:pPr>
      <w:r>
        <w:t xml:space="preserve">Правила содержания и выгула собак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br/>
      </w:r>
    </w:p>
    <w:bookmarkEnd w:id="20"/>
    <w:bookmarkStart w:id="22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http://lublino.mos.ru/directions-of-activities/veterinary-service-district/detail/9373038.html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9373038.html" TargetMode="External" /><Relationship Type="http://schemas.openxmlformats.org/officeDocument/2006/relationships/hyperlink" Id="rId21" Target="https://tekstilschiky.mos.ru/presscenter/announcements/detail/9368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9373038.html" TargetMode="External" /><Relationship Type="http://schemas.openxmlformats.org/officeDocument/2006/relationships/hyperlink" Id="rId21" Target="https://tekstilschiky.mos.ru/presscenter/announcements/detail/9368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2025-04-11T23:07:45Z</dcterms:created>
  <dcterms:modified xsi:type="dcterms:W3CDTF">2025-04-11T23:07:45Z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