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-доходах-2014"/>
    <w:p>
      <w:pPr>
        <w:pStyle w:val="Heading3"/>
      </w:pPr>
      <w:r>
        <w:t xml:space="preserve">информация о доходах 2014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t xml:space="preserve">Сведения о доходах, о расходах, об имуществе и обязательствах имущественного характера лиц, замещающих  должности государственной гражданской службы города Москвы в управе района Люблино, и членов их семей за период с 1 января 2014 года  по 31 декабря 2014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http://lublino.mos.ru/law-and-order/anti-corruption/information-on-income-expenses-about-property-and-obligations-of-property-character/detail/2291256.html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anti-corruption/information-on-income-expenses-about-property-and-obligations-of-property-character/detail/2291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anti-corruption/information-on-income-expenses-about-property-and-obligations-of-property-character/detail/2291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2025-04-22T04:31:22Z</dcterms:created>
  <dcterms:modified xsi:type="dcterms:W3CDTF">2025-04-22T04:31:22Z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