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-жкх"/>
    <w:p>
      <w:pPr>
        <w:pStyle w:val="Heading3"/>
      </w:pPr>
      <w:r>
        <w:t xml:space="preserve">Памятка ЖКХ</w:t>
      </w:r>
    </w:p>
    <w:p>
      <w:pPr>
        <w:pStyle w:val="FirstParagraph"/>
      </w:pPr>
      <w:r>
        <w:t xml:space="preserve">27.01.2022</w:t>
      </w:r>
    </w:p>
    <w:p>
      <w:pPr>
        <w:pStyle w:val="BodyText"/>
      </w:pPr>
      <w:hyperlink r:id="rId20">
        <w:r>
          <w:rPr>
            <w:rStyle w:val="Hyperlink"/>
          </w:rPr>
          <w:t xml:space="preserve">/Памятка. ЖКХ.pdf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http://lublino.mos.ru/law-and-order/anti-corruption/methodical-materials/detail/10584324.html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72;&#1084;&#1103;&#1090;&#1082;&#1072;.%20&#1046;&#1050;&#1061;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law-and-order/anti-corruption/methodical-materials/detail/10584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72;&#1084;&#1103;&#1090;&#1082;&#1072;.%20&#1046;&#1050;&#1061;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law-and-order/anti-corruption/methodical-materials/detail/10584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2025-01-16T21:26:22Z</dcterms:created>
  <dcterms:modified xsi:type="dcterms:W3CDTF">2025-01-16T21:26:22Z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