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тактно-справочная-информация"/>
    <w:p>
      <w:pPr>
        <w:pStyle w:val="Heading3"/>
      </w:pPr>
      <w:r>
        <w:t xml:space="preserve">Контактно-справочная информация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Контактно-справочная информация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http://lublino.mos.ru/law-and-order/countering-terrorism/detail/11723061.html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countering-terrorism/detail/11723061.html" TargetMode="External" /><Relationship Type="http://schemas.openxmlformats.org/officeDocument/2006/relationships/hyperlink" Id="rId20" Target="https://uvao.mos.ru/countering-extremism/antiterror/contact-reference-inform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countering-terrorism/detail/11723061.html" TargetMode="External" /><Relationship Type="http://schemas.openxmlformats.org/officeDocument/2006/relationships/hyperlink" Id="rId20" Target="https://uvao.mos.ru/countering-extremism/antiterror/contact-reference-inform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2025-02-12T11:33:01Z</dcterms:created>
  <dcterms:modified xsi:type="dcterms:W3CDTF">2025-02-12T11:33:01Z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