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c009098322b69439b704ca65a1420907a7356"/>
    <w:p>
      <w:pPr>
        <w:pStyle w:val="Heading3"/>
      </w:pPr>
      <w:r>
        <w:t xml:space="preserve">Молодежь в прямом диалоге с председателем Московской Городской Думы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Особенный, для молодежи вечер прошел в среду 28 января на базе ГБУ «Центр молодежного парламентаризма». Алексей Валерьевич Шапошников собрал молодых парламентариев в актовом зале для того, что бы рассказать о векторе работы председателей молодежных палат г. Москвы. У ребят было множество самых разных насущных вопросов. </w:t>
      </w:r>
    </w:p>
    <w:p>
      <w:pPr>
        <w:pStyle w:val="BodyText"/>
      </w:pPr>
      <w:r>
        <w:t xml:space="preserve">Ни один вопрос не был оставлен без ответа. Как будет развиваться молодежный парламент? Как взаимодействовать с муниципальными депутатами на своих территориях? На какие направления стоит обратить внимание в 2015 году? Все это и многое другое ребята узнали, что называется, «из первых уст» и остались довольны. Молодежная палата района Люблино так же приняла участие в этой встрече.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http://lublino.mos.ru/presscenter/news/detail/1545045.html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45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45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2025-04-09T11:27:08Z</dcterms:created>
  <dcterms:modified xsi:type="dcterms:W3CDTF">2025-04-09T11:27:08Z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